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SISTEMA DE AGUA POTABLE Y ALCANTARILLADO DE SAN MIGUEL DE ALLENDE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DEL 01 DE ENERO AL 30 DE JUNIO DEL 2018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RELACIÓN DE ESQUEMAS BURSÁTILES Y DE COBERTURAS FINANCIERAS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NO APLICA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