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Calibri" w:cs="Calibri" w:eastAsia="Calibri" w:hAnsi="Calibri"/>
          <w:b w:val="1"/>
          <w:color w:val="0000ff"/>
          <w:sz w:val="28"/>
          <w:szCs w:val="28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0000ff"/>
          <w:sz w:val="28"/>
          <w:szCs w:val="28"/>
          <w:u w:val="single"/>
          <w:rtl w:val="0"/>
        </w:rPr>
        <w:t xml:space="preserve">NOTAS DE DISCIPLINA FINANCIERA</w:t>
      </w:r>
    </w:p>
    <w:p w:rsidR="00000000" w:rsidDel="00000000" w:rsidP="00000000" w:rsidRDefault="00000000" w:rsidRPr="00000000" w14:paraId="00000004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1. Balance Presupuestario de Recursos Disponibles Negativo</w:t>
      </w:r>
    </w:p>
    <w:p w:rsidR="00000000" w:rsidDel="00000000" w:rsidP="00000000" w:rsidRDefault="00000000" w:rsidRPr="00000000" w14:paraId="0000000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Acciones para recuperar el Balance Presupuestario de Recursos Disponibles Sostenible.</w:t>
      </w:r>
    </w:p>
    <w:p w:rsidR="00000000" w:rsidDel="00000000" w:rsidP="00000000" w:rsidRDefault="00000000" w:rsidRPr="00000000" w14:paraId="0000000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5971540" cy="1265631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971540" cy="1265631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 31 de Diciembre  se recibieron los recursos en tiempo y forma por parte del Municipio; de los ingresos propios  se va recaudando como se tiene presupuestado; de los convenios con el Estado los desayunos escolares se retrasaron por lo cual la recuperación de los mismos se realizan al momento de entregarlos a los beneficiarios; así mismo al cierre de Diciembre no se recaudaron los ingresos esperados, entendiendo negativos como los ingresos presupuestados no recaudados.</w:t>
      </w:r>
    </w:p>
    <w:p w:rsidR="00000000" w:rsidDel="00000000" w:rsidP="00000000" w:rsidRDefault="00000000" w:rsidRPr="00000000" w14:paraId="0000000D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6 y 19 LDF</w:t>
      </w:r>
    </w:p>
    <w:p w:rsidR="00000000" w:rsidDel="00000000" w:rsidP="00000000" w:rsidRDefault="00000000" w:rsidRPr="00000000" w14:paraId="0000000E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06977" cy="3539450"/>
            <wp:effectExtent b="0" l="0" r="0" t="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0703" cy="1709133"/>
            <wp:effectExtent b="0" l="0" r="0" t="0"/>
            <wp:docPr id="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2. Aumento o creación de nuevo Gasto</w:t>
      </w:r>
    </w:p>
    <w:p w:rsidR="00000000" w:rsidDel="00000000" w:rsidP="00000000" w:rsidRDefault="00000000" w:rsidRPr="00000000" w14:paraId="00000013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informará:</w:t>
      </w:r>
    </w:p>
    <w:p w:rsidR="00000000" w:rsidDel="00000000" w:rsidP="00000000" w:rsidRDefault="00000000" w:rsidRPr="00000000" w14:paraId="00000014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Fuente de Ingresos del aumento o creación del Gasto no Etiquetado.</w:t>
      </w:r>
    </w:p>
    <w:p w:rsidR="00000000" w:rsidDel="00000000" w:rsidP="00000000" w:rsidRDefault="00000000" w:rsidRPr="00000000" w14:paraId="0000001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b) Fuente de Ingresos del aumento o creación del Gasto Etiquetado.</w:t>
      </w:r>
    </w:p>
    <w:p w:rsidR="00000000" w:rsidDel="00000000" w:rsidP="00000000" w:rsidRDefault="00000000" w:rsidRPr="00000000" w14:paraId="00000016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El incremento de los ingresos fue del  5% del subsidio que nos otorga el municipio; incrementando en el mimo porcentaje algunas de las partidas; incrementado en mayor porcentaje la partida de Liquidación por Indemnizaciones, Antigüedad; por término de administración contemplando a Director General y Directores de Área.</w:t>
      </w:r>
    </w:p>
    <w:p w:rsidR="00000000" w:rsidDel="00000000" w:rsidP="00000000" w:rsidRDefault="00000000" w:rsidRPr="00000000" w14:paraId="00000017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De los ingresos etiquetados  se realizó incremento por la cancha de cachibol, fortalecimiento a Alimentario, PROCURADURIA Y CEMAIV, por parte DIF Estatal mediante convenios.</w:t>
      </w:r>
    </w:p>
    <w:p w:rsidR="00000000" w:rsidDel="00000000" w:rsidP="00000000" w:rsidRDefault="00000000" w:rsidRPr="00000000" w14:paraId="00000018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8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94622" cy="832213"/>
            <wp:effectExtent b="0" l="0" r="0" t="0"/>
            <wp:docPr id="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4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3. Pasivo Circulante al Cierre del Ejercicio</w:t>
      </w:r>
    </w:p>
    <w:p w:rsidR="00000000" w:rsidDel="00000000" w:rsidP="00000000" w:rsidRDefault="00000000" w:rsidRPr="00000000" w14:paraId="0000001E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informará solo al 31 de diciembre</w:t>
      </w:r>
    </w:p>
    <w:tbl>
      <w:tblPr>
        <w:tblStyle w:val="Table1"/>
        <w:tblW w:w="8740.0" w:type="dxa"/>
        <w:jc w:val="left"/>
        <w:tblInd w:w="55.0" w:type="dxa"/>
        <w:tblLayout w:type="fixed"/>
        <w:tblLook w:val="0400"/>
      </w:tblPr>
      <w:tblGrid>
        <w:gridCol w:w="573"/>
        <w:gridCol w:w="3582"/>
        <w:gridCol w:w="2039"/>
        <w:gridCol w:w="886"/>
        <w:gridCol w:w="1660"/>
        <w:tblGridChange w:id="0">
          <w:tblGrid>
            <w:gridCol w:w="573"/>
            <w:gridCol w:w="3582"/>
            <w:gridCol w:w="2039"/>
            <w:gridCol w:w="886"/>
            <w:gridCol w:w="1660"/>
          </w:tblGrid>
        </w:tblGridChange>
      </w:tblGrid>
      <w:tr>
        <w:trPr>
          <w:trHeight w:val="300" w:hRule="atLeast"/>
        </w:trPr>
        <w:tc>
          <w:tcPr>
            <w:gridSpan w:val="5"/>
            <w:tcBorders>
              <w:top w:color="000000" w:space="0" w:sz="8" w:val="single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1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Sistema para el Desarrollo Integral de la Familia del Municipio de San Miguel de Allende, Gto.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Informe de cuentas por pagar y que integran el pasivo circulante al cierre del ejercicio</w:t>
            </w:r>
          </w:p>
        </w:tc>
      </w:tr>
      <w:tr>
        <w:trPr>
          <w:trHeight w:val="300" w:hRule="atLeast"/>
        </w:trPr>
        <w:tc>
          <w:tcPr>
            <w:gridSpan w:val="5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Ejercicio 2017</w:t>
            </w:r>
          </w:p>
        </w:tc>
      </w:tr>
      <w:tr>
        <w:trPr>
          <w:trHeight w:val="480" w:hRule="atLeast"/>
        </w:trPr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E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COG</w:t>
            </w:r>
          </w:p>
        </w:tc>
        <w:tc>
          <w:tcPr>
            <w:vMerge w:val="restart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2F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Concepto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0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Devengado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1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Pagado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2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Cuentas por pagar</w:t>
            </w:r>
          </w:p>
        </w:tc>
      </w:tr>
      <w:tr>
        <w:trPr>
          <w:trHeight w:val="300" w:hRule="atLeast"/>
        </w:trPr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5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(a)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6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(b)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7">
            <w:pPr>
              <w:spacing w:after="0" w:line="240" w:lineRule="auto"/>
              <w:jc w:val="center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(c) = (a-b)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9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Gasto No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A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B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3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E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3F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0">
            <w:pPr>
              <w:spacing w:after="0" w:line="240" w:lineRule="auto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1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3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17,889.90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17,889.90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8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8,533.00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8,533.00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D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42,885.21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4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42,885.21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1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2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132,029.52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132,029.52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6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7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B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C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5E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5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0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1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5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6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A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B">
            <w:pPr>
              <w:spacing w:after="0" w:line="240" w:lineRule="auto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Gasto Etiquetado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C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6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6F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1000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0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Personales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3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4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2000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5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Materiales y Suministros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8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9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3000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A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Servicios Generales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E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4000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7F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Transferencias, Asignaciones, Subsidios y Otras Ayudas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2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3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5000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4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Bienes Muebles, Inmuebles e Intangibles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7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8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6000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9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Inversión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8C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48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D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7000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E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Inversiones Financieras y Otras Provisiones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8F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0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1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2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8000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3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Participaciones y Aportaciones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4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5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6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7">
            <w:pPr>
              <w:spacing w:after="0" w:line="240" w:lineRule="auto"/>
              <w:jc w:val="center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9000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8">
            <w:pPr>
              <w:spacing w:after="0" w:line="240" w:lineRule="auto"/>
              <w:ind w:firstLine="180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Deuda Pública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9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A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9B">
            <w:pPr>
              <w:spacing w:after="0" w:line="240" w:lineRule="auto"/>
              <w:jc w:val="righ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0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C">
            <w:pPr>
              <w:spacing w:after="0" w:line="240" w:lineRule="auto"/>
              <w:rPr>
                <w:rFonts w:ascii="Calibri" w:cs="Calibri" w:eastAsia="Calibri" w:hAnsi="Calibri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18"/>
                <w:szCs w:val="18"/>
                <w:rtl w:val="0"/>
              </w:rPr>
              <w:t xml:space="preserve"> 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D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Total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E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auto" w:val="clear"/>
            <w:vAlign w:val="cente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0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A0">
            <w:pPr>
              <w:spacing w:after="0" w:line="240" w:lineRule="auto"/>
              <w:jc w:val="right"/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sz w:val="18"/>
                <w:szCs w:val="18"/>
                <w:rtl w:val="0"/>
              </w:rPr>
              <w:t xml:space="preserve">201337.63</w:t>
            </w:r>
          </w:p>
        </w:tc>
      </w:tr>
    </w:tbl>
    <w:p w:rsidR="00000000" w:rsidDel="00000000" w:rsidP="00000000" w:rsidRDefault="00000000" w:rsidRPr="00000000" w14:paraId="000000A1">
      <w:pPr>
        <w:spacing w:after="0" w:line="240" w:lineRule="auto"/>
        <w:rPr/>
      </w:pPr>
      <w:r w:rsidDel="00000000" w:rsidR="00000000" w:rsidRPr="00000000">
        <w:rPr>
          <w:i w:val="1"/>
          <w:rtl w:val="0"/>
        </w:rPr>
        <w:t xml:space="preserve">Fundamento Artículo 13 VII y 21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4031867" cy="234155"/>
            <wp:effectExtent b="0" l="0" r="0" t="0"/>
            <wp:docPr id="7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917414" cy="505473"/>
            <wp:effectExtent b="0" l="0" r="0" t="0"/>
            <wp:docPr id="6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spacing w:after="0" w:line="240" w:lineRule="auto"/>
        <w:rPr/>
      </w:pPr>
      <w:r w:rsidDel="00000000" w:rsidR="00000000" w:rsidRPr="00000000">
        <w:rPr/>
        <w:drawing>
          <wp:inline distB="0" distT="0" distL="0" distR="0">
            <wp:extent cx="3850739" cy="970449"/>
            <wp:effectExtent b="0" l="0" r="0" t="0"/>
            <wp:docPr id="9" name="image9.png"/>
            <a:graphic>
              <a:graphicData uri="http://schemas.openxmlformats.org/drawingml/2006/picture">
                <pic:pic>
                  <pic:nvPicPr>
                    <pic:cNvPr id="0" name="image9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6">
      <w:pPr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4. Deuda Pública y Obligaciones</w:t>
      </w:r>
    </w:p>
    <w:p w:rsidR="00000000" w:rsidDel="00000000" w:rsidP="00000000" w:rsidRDefault="00000000" w:rsidRPr="00000000" w14:paraId="000000A8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A9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:rsidR="00000000" w:rsidDel="00000000" w:rsidP="00000000" w:rsidRDefault="00000000" w:rsidRPr="00000000" w14:paraId="000000AA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Al 31 de Diciembre de 2018 no se tienen contratada Deuda Pública.</w:t>
      </w:r>
    </w:p>
    <w:p w:rsidR="00000000" w:rsidDel="00000000" w:rsidP="00000000" w:rsidRDefault="00000000" w:rsidRPr="00000000" w14:paraId="000000AB">
      <w:pPr>
        <w:spacing w:after="0" w:line="240" w:lineRule="auto"/>
        <w:jc w:val="both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25 LDF</w:t>
      </w:r>
    </w:p>
    <w:p w:rsidR="00000000" w:rsidDel="00000000" w:rsidP="00000000" w:rsidRDefault="00000000" w:rsidRPr="00000000" w14:paraId="000000AC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797062" cy="893833"/>
            <wp:effectExtent b="0" l="0" r="0" t="0"/>
            <wp:docPr id="8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spacing w:after="0" w:line="240" w:lineRule="auto"/>
        <w:jc w:val="both"/>
        <w:rPr>
          <w:b w:val="1"/>
        </w:rPr>
      </w:pPr>
      <w:r w:rsidDel="00000000" w:rsidR="00000000" w:rsidRPr="00000000">
        <w:rPr>
          <w:b w:val="1"/>
          <w:rtl w:val="0"/>
        </w:rPr>
        <w:t xml:space="preserve">5. Obligaciones a Corto Plazo</w:t>
      </w:r>
    </w:p>
    <w:p w:rsidR="00000000" w:rsidDel="00000000" w:rsidP="00000000" w:rsidRDefault="00000000" w:rsidRPr="00000000" w14:paraId="000000B0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1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a) 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:rsidR="00000000" w:rsidDel="00000000" w:rsidP="00000000" w:rsidRDefault="00000000" w:rsidRPr="00000000" w14:paraId="000000B2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De las obligaciones contraídas al 31 de Diciembre no se tiene cargos adicionales como recargos, comisiones, o cualquier otro concepto que incremente en importe de la contraprestación.</w:t>
      </w:r>
    </w:p>
    <w:p w:rsidR="00000000" w:rsidDel="00000000" w:rsidP="00000000" w:rsidRDefault="00000000" w:rsidRPr="00000000" w14:paraId="000000B3">
      <w:pPr>
        <w:spacing w:after="0" w:line="240" w:lineRule="auto"/>
        <w:jc w:val="both"/>
        <w:rPr/>
      </w:pPr>
      <w:r w:rsidDel="00000000" w:rsidR="00000000" w:rsidRPr="00000000">
        <w:rPr>
          <w:i w:val="1"/>
          <w:rtl w:val="0"/>
        </w:rPr>
        <w:t xml:space="preserve">Fundamento Artículo 31 LDF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after="0" w:line="240" w:lineRule="auto"/>
        <w:jc w:val="both"/>
        <w:rPr/>
      </w:pPr>
      <w:r w:rsidDel="00000000" w:rsidR="00000000" w:rsidRPr="00000000">
        <w:rPr/>
        <w:drawing>
          <wp:inline distB="0" distT="0" distL="0" distR="0">
            <wp:extent cx="3845422" cy="957885"/>
            <wp:effectExtent b="0" l="0" r="0" t="0"/>
            <wp:docPr id="11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after="0" w:line="240" w:lineRule="auto"/>
        <w:rPr>
          <w:b w:val="1"/>
        </w:rPr>
      </w:pPr>
      <w:r w:rsidDel="00000000" w:rsidR="00000000" w:rsidRPr="00000000">
        <w:rPr>
          <w:b w:val="1"/>
          <w:rtl w:val="0"/>
        </w:rPr>
        <w:t xml:space="preserve">6. Evaluación de Cumplimiento</w:t>
      </w:r>
    </w:p>
    <w:p w:rsidR="00000000" w:rsidDel="00000000" w:rsidP="00000000" w:rsidRDefault="00000000" w:rsidRPr="00000000" w14:paraId="000000B8">
      <w:pPr>
        <w:spacing w:after="0" w:line="240" w:lineRule="auto"/>
        <w:jc w:val="both"/>
        <w:rPr/>
      </w:pPr>
      <w:r w:rsidDel="00000000" w:rsidR="00000000" w:rsidRPr="00000000">
        <w:rPr>
          <w:rtl w:val="0"/>
        </w:rPr>
        <w:t xml:space="preserve">Se revelará:</w:t>
      </w:r>
    </w:p>
    <w:p w:rsidR="00000000" w:rsidDel="00000000" w:rsidP="00000000" w:rsidRDefault="00000000" w:rsidRPr="00000000" w14:paraId="000000B9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a) La información relativa al cumplimiento de los convenios de Deuda Garantizada.</w:t>
      </w:r>
    </w:p>
    <w:p w:rsidR="00000000" w:rsidDel="00000000" w:rsidP="00000000" w:rsidRDefault="00000000" w:rsidRPr="00000000" w14:paraId="000000BA">
      <w:pPr>
        <w:spacing w:after="0" w:line="240" w:lineRule="auto"/>
        <w:rPr/>
      </w:pPr>
      <w:r w:rsidDel="00000000" w:rsidR="00000000" w:rsidRPr="00000000">
        <w:rPr>
          <w:rtl w:val="0"/>
        </w:rPr>
        <w:t xml:space="preserve">Al 31 de Diciembre no se tiene contratada deuda.</w:t>
      </w:r>
    </w:p>
    <w:p w:rsidR="00000000" w:rsidDel="00000000" w:rsidP="00000000" w:rsidRDefault="00000000" w:rsidRPr="00000000" w14:paraId="000000BB">
      <w:pPr>
        <w:spacing w:after="0" w:line="240" w:lineRule="auto"/>
        <w:rPr>
          <w:i w:val="1"/>
        </w:rPr>
      </w:pPr>
      <w:r w:rsidDel="00000000" w:rsidR="00000000" w:rsidRPr="00000000">
        <w:rPr>
          <w:i w:val="1"/>
          <w:rtl w:val="0"/>
        </w:rPr>
        <w:t xml:space="preserve">Fundamento Artículo 40 LDF</w:t>
      </w:r>
    </w:p>
    <w:p w:rsidR="00000000" w:rsidDel="00000000" w:rsidP="00000000" w:rsidRDefault="00000000" w:rsidRPr="00000000" w14:paraId="000000BC">
      <w:pPr>
        <w:spacing w:after="0" w:line="240" w:lineRule="auto"/>
        <w:rPr>
          <w:i w:val="1"/>
        </w:rPr>
      </w:pPr>
      <w:r w:rsidDel="00000000" w:rsidR="00000000" w:rsidRPr="00000000">
        <w:rPr/>
        <w:drawing>
          <wp:inline distB="0" distT="0" distL="0" distR="0">
            <wp:extent cx="3993981" cy="1614895"/>
            <wp:effectExtent b="0" l="0" r="0" t="0"/>
            <wp:docPr id="10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spacing w:after="0" w:line="240" w:lineRule="auto"/>
        <w:rPr>
          <w:i w:val="1"/>
        </w:rPr>
      </w:pP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5840" w:w="12240"/>
      <w:pgMar w:bottom="1418" w:top="1418" w:left="1418" w:right="1418" w:header="709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Sistema para el Desarrollo Integral de la Familia del Municipio de San Miguel de Allende, Gto</w:t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CORRESPONDIENTES AL 31 DE DICIEMBRE 2018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8.png"/><Relationship Id="rId10" Type="http://schemas.openxmlformats.org/officeDocument/2006/relationships/image" Target="media/image9.png"/><Relationship Id="rId13" Type="http://schemas.openxmlformats.org/officeDocument/2006/relationships/image" Target="media/image10.png"/><Relationship Id="rId12" Type="http://schemas.openxmlformats.org/officeDocument/2006/relationships/image" Target="media/image3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15" Type="http://schemas.openxmlformats.org/officeDocument/2006/relationships/image" Target="media/image6.png"/><Relationship Id="rId14" Type="http://schemas.openxmlformats.org/officeDocument/2006/relationships/image" Target="media/image5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