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genera Balance Presupuestario de Recursos Disponibles negativo</w:t>
      </w:r>
    </w:p>
    <w:p w:rsidR="00000000" w:rsidDel="00000000" w:rsidP="00000000" w:rsidRDefault="00000000" w:rsidRPr="00000000" w14:paraId="0000000B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crea ningún gasto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3.999999999998" w:type="dxa"/>
        <w:jc w:val="left"/>
        <w:tblInd w:w="0.0" w:type="dxa"/>
        <w:tblLayout w:type="fixed"/>
        <w:tblLook w:val="0400"/>
      </w:tblPr>
      <w:tblGrid>
        <w:gridCol w:w="704"/>
        <w:gridCol w:w="3970"/>
        <w:gridCol w:w="1700"/>
        <w:gridCol w:w="1417"/>
        <w:gridCol w:w="1603"/>
        <w:tblGridChange w:id="0">
          <w:tblGrid>
            <w:gridCol w:w="704"/>
            <w:gridCol w:w="3970"/>
            <w:gridCol w:w="1700"/>
            <w:gridCol w:w="1417"/>
            <w:gridCol w:w="1603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Ente Público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Ejercicio 20XN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Devengado</w:t>
              <w:br w:type="textWrapping"/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Pagado</w:t>
              <w:br w:type="textWrapping"/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  <w:br w:type="textWrapping"/>
              <w:t xml:space="preserve">(c) = (a-b)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18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 deuda publica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R: No se tienen compromisos de pago por obligaciones a corto plazo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E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R: </w:t>
      </w:r>
      <w:r w:rsidDel="00000000" w:rsidR="00000000" w:rsidRPr="00000000">
        <w:rPr>
          <w:b w:val="1"/>
          <w:rtl w:val="0"/>
        </w:rPr>
        <w:t xml:space="preserve">La institución no ha celebrado convenios de Deuda Garantizada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COMISION MUNICIPAL DEL DEPORTE Y ATENCION A LA JUVENTUD DE SAN MIGUEL DE ALLENDE GTO</w:t>
    </w:r>
  </w:p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CORRESPONDINTES AL 30 DE JUNIO DE 2018</w:t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